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8C665B">
      <w:pPr>
        <w:outlineLvl w:val="0"/>
        <w:rPr>
          <w:rFonts w:ascii="黑体" w:hAnsi="黑体" w:eastAsia="黑体" w:cs="黑体"/>
          <w:sz w:val="24"/>
          <w:szCs w:val="24"/>
        </w:rPr>
      </w:pPr>
      <w:r>
        <w:rPr>
          <w:rFonts w:hint="eastAsia" w:ascii="黑体" w:hAnsi="黑体" w:eastAsia="黑体" w:cs="黑体"/>
          <w:sz w:val="24"/>
          <w:szCs w:val="24"/>
        </w:rPr>
        <w:t>附件4</w:t>
      </w:r>
    </w:p>
    <w:p w14:paraId="44FBD298">
      <w:pPr>
        <w:pStyle w:val="8"/>
        <w:rPr>
          <w:rFonts w:cs="黑体"/>
          <w:b w:val="0"/>
          <w:kern w:val="2"/>
          <w:sz w:val="24"/>
          <w:szCs w:val="24"/>
        </w:rPr>
      </w:pPr>
      <w:bookmarkStart w:id="23" w:name="_GoBack"/>
      <w:r>
        <w:rPr>
          <w:rFonts w:hint="eastAsia" w:cs="黑体"/>
          <w:b w:val="0"/>
          <w:kern w:val="2"/>
          <w:sz w:val="24"/>
          <w:szCs w:val="24"/>
        </w:rPr>
        <w:t>学生信息管理系统学生操作手册</w:t>
      </w:r>
      <w:bookmarkEnd w:id="23"/>
    </w:p>
    <w:p w14:paraId="714C6578">
      <w:pPr>
        <w:pStyle w:val="9"/>
        <w:numPr>
          <w:ilvl w:val="0"/>
          <w:numId w:val="1"/>
        </w:numPr>
        <w:outlineLvl w:val="9"/>
        <w:rPr>
          <w:sz w:val="24"/>
          <w:szCs w:val="24"/>
        </w:rPr>
      </w:pPr>
      <w:bookmarkStart w:id="0" w:name="_Toc53502217"/>
      <w:bookmarkStart w:id="1" w:name="_Toc53501721"/>
      <w:bookmarkStart w:id="2" w:name="_Toc53921389"/>
      <w:bookmarkStart w:id="3" w:name="_Toc53501745"/>
      <w:r>
        <w:rPr>
          <w:rFonts w:hint="eastAsia"/>
          <w:sz w:val="24"/>
          <w:szCs w:val="24"/>
        </w:rPr>
        <w:t>登录系统</w:t>
      </w:r>
      <w:bookmarkEnd w:id="0"/>
      <w:bookmarkEnd w:id="1"/>
      <w:bookmarkEnd w:id="2"/>
      <w:bookmarkEnd w:id="3"/>
    </w:p>
    <w:p w14:paraId="0747C209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系统支持两种登录方式：使用账号密码登录，或在公共数据库统一认证登录。</w:t>
      </w:r>
    </w:p>
    <w:p w14:paraId="625FBDF5">
      <w:pPr>
        <w:pStyle w:val="10"/>
        <w:numPr>
          <w:ilvl w:val="1"/>
          <w:numId w:val="1"/>
        </w:numPr>
        <w:outlineLvl w:val="9"/>
        <w:rPr>
          <w:sz w:val="24"/>
          <w:szCs w:val="24"/>
        </w:rPr>
      </w:pPr>
      <w:bookmarkStart w:id="4" w:name="_Toc53501722"/>
      <w:bookmarkStart w:id="5" w:name="_Toc53921390"/>
      <w:bookmarkStart w:id="6" w:name="_Toc53501746"/>
      <w:bookmarkStart w:id="7" w:name="_Toc53502218"/>
      <w:r>
        <w:rPr>
          <w:rFonts w:hint="eastAsia"/>
          <w:sz w:val="24"/>
          <w:szCs w:val="24"/>
        </w:rPr>
        <w:t>账号密码登录</w:t>
      </w:r>
      <w:bookmarkEnd w:id="4"/>
      <w:bookmarkEnd w:id="5"/>
      <w:bookmarkEnd w:id="6"/>
      <w:bookmarkEnd w:id="7"/>
    </w:p>
    <w:p w14:paraId="0B2038A1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点击“使用账号或企业微信扫码登陆”（图1.1），填写正确的用户名、密码、验证码后，点击“登录”（图1.2），等待页面跳转至系统首页。</w:t>
      </w:r>
    </w:p>
    <w:p w14:paraId="583BA8CC">
      <w:pPr>
        <w:jc w:val="center"/>
        <w:rPr>
          <w:sz w:val="24"/>
          <w:szCs w:val="24"/>
        </w:rPr>
      </w:pPr>
      <w:r>
        <w:rPr>
          <w:sz w:val="24"/>
          <w:szCs w:val="24"/>
        </w:rPr>
        <w:drawing>
          <wp:inline distT="0" distB="0" distL="0" distR="0">
            <wp:extent cx="5204460" cy="2447925"/>
            <wp:effectExtent l="0" t="0" r="15240" b="9525"/>
            <wp:docPr id="26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04604" cy="24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A0661D">
      <w:pPr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图1.</w:t>
      </w:r>
      <w:r>
        <w:rPr>
          <w:sz w:val="24"/>
          <w:szCs w:val="24"/>
        </w:rPr>
        <w:t>1</w:t>
      </w:r>
    </w:p>
    <w:p w14:paraId="779F57F4">
      <w:pPr>
        <w:jc w:val="center"/>
        <w:rPr>
          <w:sz w:val="24"/>
          <w:szCs w:val="24"/>
        </w:rPr>
      </w:pPr>
      <w:r>
        <w:rPr>
          <w:sz w:val="24"/>
          <w:szCs w:val="24"/>
        </w:rPr>
        <w:drawing>
          <wp:inline distT="0" distB="0" distL="0" distR="0">
            <wp:extent cx="5204460" cy="2447925"/>
            <wp:effectExtent l="0" t="0" r="15240" b="9525"/>
            <wp:docPr id="18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2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04604" cy="24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45D292">
      <w:pPr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图1.2</w:t>
      </w:r>
    </w:p>
    <w:p w14:paraId="2179B25E">
      <w:pPr>
        <w:widowControl/>
        <w:jc w:val="left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6D545B01">
      <w:pPr>
        <w:pStyle w:val="10"/>
        <w:numPr>
          <w:ilvl w:val="1"/>
          <w:numId w:val="1"/>
        </w:numPr>
        <w:outlineLvl w:val="9"/>
        <w:rPr>
          <w:sz w:val="24"/>
          <w:szCs w:val="24"/>
        </w:rPr>
      </w:pPr>
      <w:bookmarkStart w:id="8" w:name="_Toc53921391"/>
      <w:r>
        <w:rPr>
          <w:rFonts w:hint="eastAsia"/>
          <w:sz w:val="24"/>
          <w:szCs w:val="24"/>
        </w:rPr>
        <w:t>公共数据库统一认证登录</w:t>
      </w:r>
      <w:bookmarkEnd w:id="8"/>
    </w:p>
    <w:p w14:paraId="54AE447E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点击“前往ECNU统一认证”（图1</w:t>
      </w:r>
      <w:r>
        <w:rPr>
          <w:sz w:val="24"/>
          <w:szCs w:val="24"/>
        </w:rPr>
        <w:t>.3</w:t>
      </w:r>
      <w:r>
        <w:rPr>
          <w:rFonts w:hint="eastAsia"/>
          <w:sz w:val="24"/>
          <w:szCs w:val="24"/>
        </w:rPr>
        <w:t>），填写正确的用户名、密码、验证码后，点击“登录”（图1.</w:t>
      </w:r>
      <w:r>
        <w:rPr>
          <w:sz w:val="24"/>
          <w:szCs w:val="24"/>
        </w:rPr>
        <w:t>4</w:t>
      </w:r>
      <w:r>
        <w:rPr>
          <w:rFonts w:hint="eastAsia"/>
          <w:sz w:val="24"/>
          <w:szCs w:val="24"/>
        </w:rPr>
        <w:t>），等待页面跳转至系统首页。</w:t>
      </w:r>
    </w:p>
    <w:p w14:paraId="713D2F7D">
      <w:pPr>
        <w:pStyle w:val="4"/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drawing>
          <wp:inline distT="0" distB="0" distL="0" distR="0">
            <wp:extent cx="5274310" cy="2584450"/>
            <wp:effectExtent l="0" t="0" r="2540" b="635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849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8F7BE1">
      <w:pPr>
        <w:pStyle w:val="4"/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图1</w:t>
      </w:r>
      <w:r>
        <w:rPr>
          <w:sz w:val="24"/>
          <w:szCs w:val="24"/>
        </w:rPr>
        <w:t>.3</w:t>
      </w:r>
    </w:p>
    <w:p w14:paraId="649FC7E6">
      <w:pPr>
        <w:pStyle w:val="4"/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drawing>
          <wp:inline distT="0" distB="0" distL="0" distR="0">
            <wp:extent cx="5274310" cy="2579370"/>
            <wp:effectExtent l="0" t="0" r="2540" b="1143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79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F8EE60">
      <w:pPr>
        <w:pStyle w:val="4"/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图1</w:t>
      </w:r>
      <w:r>
        <w:rPr>
          <w:sz w:val="24"/>
          <w:szCs w:val="24"/>
        </w:rPr>
        <w:t>.4</w:t>
      </w:r>
    </w:p>
    <w:p w14:paraId="31DC9646">
      <w:pPr>
        <w:widowControl/>
        <w:jc w:val="left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08DF0213">
      <w:pPr>
        <w:pStyle w:val="9"/>
        <w:numPr>
          <w:ilvl w:val="0"/>
          <w:numId w:val="1"/>
        </w:numPr>
        <w:outlineLvl w:val="9"/>
        <w:rPr>
          <w:sz w:val="24"/>
          <w:szCs w:val="24"/>
        </w:rPr>
      </w:pPr>
      <w:bookmarkStart w:id="9" w:name="_Toc53921392"/>
      <w:bookmarkStart w:id="10" w:name="_Hlk53787830"/>
      <w:r>
        <w:rPr>
          <w:rFonts w:hint="eastAsia"/>
          <w:sz w:val="24"/>
          <w:szCs w:val="24"/>
        </w:rPr>
        <w:t>查看与申请奖助学金</w:t>
      </w:r>
      <w:bookmarkEnd w:id="9"/>
    </w:p>
    <w:bookmarkEnd w:id="10"/>
    <w:p w14:paraId="64D4E186">
      <w:pPr>
        <w:pStyle w:val="10"/>
        <w:numPr>
          <w:ilvl w:val="1"/>
          <w:numId w:val="1"/>
        </w:numPr>
        <w:outlineLvl w:val="9"/>
        <w:rPr>
          <w:sz w:val="24"/>
          <w:szCs w:val="24"/>
        </w:rPr>
      </w:pPr>
      <w:bookmarkStart w:id="11" w:name="_Toc17454"/>
      <w:bookmarkStart w:id="12" w:name="_Toc53921393"/>
      <w:r>
        <w:rPr>
          <w:rFonts w:hint="eastAsia"/>
          <w:sz w:val="24"/>
          <w:szCs w:val="24"/>
        </w:rPr>
        <w:t>奖助浏览</w:t>
      </w:r>
      <w:bookmarkEnd w:id="11"/>
      <w:bookmarkEnd w:id="12"/>
    </w:p>
    <w:p w14:paraId="6A476B43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展开左侧“奖助信息”，点击“奖助浏览”，可以看到学校当前所有的奖助信息，如果有待提交的草稿条目也会在此显示（图2</w:t>
      </w:r>
      <w:r>
        <w:rPr>
          <w:sz w:val="24"/>
          <w:szCs w:val="24"/>
        </w:rPr>
        <w:t>.1</w:t>
      </w:r>
      <w:r>
        <w:rPr>
          <w:rFonts w:hint="eastAsia"/>
          <w:sz w:val="24"/>
          <w:szCs w:val="24"/>
        </w:rPr>
        <w:t>）。</w:t>
      </w:r>
    </w:p>
    <w:p w14:paraId="6F3B44AF">
      <w:pPr>
        <w:jc w:val="center"/>
        <w:rPr>
          <w:sz w:val="24"/>
          <w:szCs w:val="24"/>
        </w:rPr>
      </w:pPr>
      <w:r>
        <w:rPr>
          <w:sz w:val="24"/>
          <w:szCs w:val="24"/>
        </w:rPr>
        <w:drawing>
          <wp:inline distT="0" distB="0" distL="0" distR="0">
            <wp:extent cx="5274310" cy="2609215"/>
            <wp:effectExtent l="0" t="0" r="2540" b="635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09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1928CF">
      <w:pPr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图2</w:t>
      </w:r>
      <w:r>
        <w:rPr>
          <w:sz w:val="24"/>
          <w:szCs w:val="24"/>
        </w:rPr>
        <w:t>.1</w:t>
      </w:r>
    </w:p>
    <w:p w14:paraId="372F2081">
      <w:pPr>
        <w:pStyle w:val="10"/>
        <w:numPr>
          <w:ilvl w:val="1"/>
          <w:numId w:val="1"/>
        </w:numPr>
        <w:outlineLvl w:val="9"/>
        <w:rPr>
          <w:sz w:val="24"/>
          <w:szCs w:val="24"/>
        </w:rPr>
      </w:pPr>
      <w:bookmarkStart w:id="13" w:name="_Toc53921394"/>
      <w:r>
        <w:rPr>
          <w:rFonts w:hint="eastAsia"/>
          <w:sz w:val="24"/>
          <w:szCs w:val="24"/>
        </w:rPr>
        <w:t>奖助申请</w:t>
      </w:r>
      <w:bookmarkEnd w:id="13"/>
    </w:p>
    <w:p w14:paraId="44F1697D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在“奖助浏览”界面，点击对应条目右侧的“前往申请”申请该奖助（图</w:t>
      </w:r>
      <w:r>
        <w:rPr>
          <w:sz w:val="24"/>
          <w:szCs w:val="24"/>
        </w:rPr>
        <w:t>2</w:t>
      </w:r>
      <w:r>
        <w:rPr>
          <w:rFonts w:hint="eastAsia"/>
          <w:sz w:val="24"/>
          <w:szCs w:val="24"/>
        </w:rPr>
        <w:t>.</w:t>
      </w:r>
      <w:r>
        <w:rPr>
          <w:sz w:val="24"/>
          <w:szCs w:val="24"/>
        </w:rPr>
        <w:t>2</w:t>
      </w:r>
      <w:r>
        <w:rPr>
          <w:rFonts w:hint="eastAsia"/>
          <w:sz w:val="24"/>
          <w:szCs w:val="24"/>
        </w:rPr>
        <w:t>），如果不符合资格，浏览器顶部会有对应的提示信息。</w:t>
      </w:r>
    </w:p>
    <w:p w14:paraId="4FDBF119">
      <w:pPr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drawing>
          <wp:inline distT="0" distB="0" distL="114300" distR="114300">
            <wp:extent cx="5337175" cy="2555875"/>
            <wp:effectExtent l="0" t="0" r="15875" b="15875"/>
            <wp:docPr id="2" name="图片 2" descr="1602298722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1602298722(1)"/>
                    <pic:cNvPicPr>
                      <a:picLocks noChangeAspect="1"/>
                    </pic:cNvPicPr>
                  </pic:nvPicPr>
                  <pic:blipFill>
                    <a:blip r:embed="rId9"/>
                    <a:srcRect r="4114"/>
                    <a:stretch>
                      <a:fillRect/>
                    </a:stretch>
                  </pic:blipFill>
                  <pic:spPr>
                    <a:xfrm>
                      <a:off x="0" y="0"/>
                      <a:ext cx="5337453" cy="25560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C6F08E">
      <w:pPr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图2</w:t>
      </w:r>
      <w:r>
        <w:rPr>
          <w:sz w:val="24"/>
          <w:szCs w:val="24"/>
        </w:rPr>
        <w:t>.2</w:t>
      </w:r>
    </w:p>
    <w:p w14:paraId="6BAB135E">
      <w:pPr>
        <w:rPr>
          <w:sz w:val="24"/>
          <w:szCs w:val="24"/>
        </w:rPr>
      </w:pPr>
      <w:bookmarkStart w:id="14" w:name="_Hlk53788032"/>
      <w:r>
        <w:rPr>
          <w:rFonts w:hint="eastAsia"/>
          <w:sz w:val="24"/>
          <w:szCs w:val="24"/>
        </w:rPr>
        <w:t>进入申请界面后</w:t>
      </w:r>
      <w:bookmarkEnd w:id="14"/>
      <w:r>
        <w:rPr>
          <w:rFonts w:hint="eastAsia"/>
          <w:sz w:val="24"/>
          <w:szCs w:val="24"/>
        </w:rPr>
        <w:t>，填写申请信息。带红色星号“*”标记的为必填项（图2</w:t>
      </w:r>
      <w:r>
        <w:rPr>
          <w:sz w:val="24"/>
          <w:szCs w:val="24"/>
        </w:rPr>
        <w:t>.3</w:t>
      </w:r>
      <w:r>
        <w:rPr>
          <w:rFonts w:hint="eastAsia"/>
          <w:sz w:val="24"/>
          <w:szCs w:val="24"/>
        </w:rPr>
        <w:t>）。</w:t>
      </w:r>
    </w:p>
    <w:p w14:paraId="11105122">
      <w:pPr>
        <w:jc w:val="center"/>
        <w:rPr>
          <w:sz w:val="24"/>
          <w:szCs w:val="24"/>
        </w:rPr>
      </w:pPr>
      <w:r>
        <w:rPr>
          <w:sz w:val="24"/>
          <w:szCs w:val="24"/>
        </w:rPr>
        <w:drawing>
          <wp:inline distT="0" distB="0" distL="114300" distR="114300">
            <wp:extent cx="5219700" cy="2519680"/>
            <wp:effectExtent l="0" t="0" r="0" b="13970"/>
            <wp:docPr id="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20180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96C4ED">
      <w:pPr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图2</w:t>
      </w:r>
      <w:r>
        <w:rPr>
          <w:sz w:val="24"/>
          <w:szCs w:val="24"/>
        </w:rPr>
        <w:t>.3</w:t>
      </w:r>
    </w:p>
    <w:p w14:paraId="19AC0E2F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未填写完的申请表格通过可以点击表格底部的“保存草稿”按钮保存（图2</w:t>
      </w:r>
      <w:r>
        <w:rPr>
          <w:sz w:val="24"/>
          <w:szCs w:val="24"/>
        </w:rPr>
        <w:t>.4</w:t>
      </w:r>
      <w:r>
        <w:rPr>
          <w:rFonts w:hint="eastAsia"/>
          <w:sz w:val="24"/>
          <w:szCs w:val="24"/>
        </w:rPr>
        <w:t>），下次登陆时可以回到“我的奖助”页面中打开草稿继续填写。</w:t>
      </w:r>
    </w:p>
    <w:p w14:paraId="217C5284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填写完毕后，点击文档底部的“提交审批”提交申请表格（图2</w:t>
      </w:r>
      <w:r>
        <w:rPr>
          <w:sz w:val="24"/>
          <w:szCs w:val="24"/>
        </w:rPr>
        <w:t>.4</w:t>
      </w:r>
      <w:r>
        <w:rPr>
          <w:rFonts w:hint="eastAsia"/>
          <w:sz w:val="24"/>
          <w:szCs w:val="24"/>
        </w:rPr>
        <w:t>）。提交申请后，除被退回，无法进行修改。提交成功后网页会自动跳转到“我的奖助”界面。</w:t>
      </w:r>
    </w:p>
    <w:p w14:paraId="5939492E">
      <w:pPr>
        <w:jc w:val="center"/>
        <w:rPr>
          <w:sz w:val="24"/>
          <w:szCs w:val="24"/>
        </w:rPr>
      </w:pPr>
      <w:r>
        <w:rPr>
          <w:sz w:val="24"/>
          <w:szCs w:val="24"/>
        </w:rPr>
        <w:drawing>
          <wp:inline distT="0" distB="0" distL="114300" distR="114300">
            <wp:extent cx="5260340" cy="2546350"/>
            <wp:effectExtent l="0" t="0" r="16510" b="6350"/>
            <wp:docPr id="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4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0340" cy="254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5DAD04">
      <w:pPr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图2</w:t>
      </w:r>
      <w:r>
        <w:rPr>
          <w:sz w:val="24"/>
          <w:szCs w:val="24"/>
        </w:rPr>
        <w:t>.4</w:t>
      </w:r>
    </w:p>
    <w:p w14:paraId="269E815C">
      <w:pPr>
        <w:widowControl/>
        <w:jc w:val="left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4FBA75EF">
      <w:pPr>
        <w:rPr>
          <w:sz w:val="24"/>
          <w:szCs w:val="24"/>
        </w:rPr>
      </w:pPr>
      <w:bookmarkStart w:id="15" w:name="_Hlk53796425"/>
      <w:r>
        <w:rPr>
          <w:rFonts w:hint="eastAsia"/>
          <w:sz w:val="24"/>
          <w:szCs w:val="24"/>
        </w:rPr>
        <w:t>点击“打印”按钮可以直接调用局域网中的打印机打印申请表格（图2</w:t>
      </w:r>
      <w:r>
        <w:rPr>
          <w:sz w:val="24"/>
          <w:szCs w:val="24"/>
        </w:rPr>
        <w:t>.5</w:t>
      </w:r>
      <w:r>
        <w:rPr>
          <w:rFonts w:hint="eastAsia"/>
          <w:sz w:val="24"/>
          <w:szCs w:val="24"/>
        </w:rPr>
        <w:t>），建议将打印比例自定义调整为</w:t>
      </w:r>
      <w:r>
        <w:rPr>
          <w:sz w:val="24"/>
          <w:szCs w:val="24"/>
        </w:rPr>
        <w:t>80</w:t>
      </w:r>
      <w:r>
        <w:rPr>
          <w:rFonts w:hint="eastAsia"/>
          <w:sz w:val="24"/>
          <w:szCs w:val="24"/>
        </w:rPr>
        <w:t>。</w:t>
      </w:r>
    </w:p>
    <w:p w14:paraId="00A4A0C3">
      <w:pPr>
        <w:jc w:val="center"/>
        <w:rPr>
          <w:sz w:val="24"/>
          <w:szCs w:val="24"/>
        </w:rPr>
      </w:pPr>
      <w:r>
        <w:rPr>
          <w:sz w:val="24"/>
          <w:szCs w:val="24"/>
        </w:rPr>
        <w:drawing>
          <wp:inline distT="0" distB="0" distL="114300" distR="114300">
            <wp:extent cx="5267325" cy="2590800"/>
            <wp:effectExtent l="0" t="0" r="9525" b="0"/>
            <wp:docPr id="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59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B474A8">
      <w:pPr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图2</w:t>
      </w:r>
      <w:r>
        <w:rPr>
          <w:sz w:val="24"/>
          <w:szCs w:val="24"/>
        </w:rPr>
        <w:t>.5</w:t>
      </w:r>
    </w:p>
    <w:bookmarkEnd w:id="15"/>
    <w:p w14:paraId="433B2048">
      <w:pPr>
        <w:widowControl/>
        <w:jc w:val="left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7C31CE3B">
      <w:pPr>
        <w:pStyle w:val="9"/>
        <w:numPr>
          <w:ilvl w:val="0"/>
          <w:numId w:val="1"/>
        </w:numPr>
        <w:outlineLvl w:val="9"/>
        <w:rPr>
          <w:sz w:val="24"/>
          <w:szCs w:val="24"/>
        </w:rPr>
      </w:pPr>
      <w:bookmarkStart w:id="16" w:name="_Toc53921395"/>
      <w:r>
        <w:rPr>
          <w:rFonts w:hint="eastAsia"/>
          <w:sz w:val="24"/>
          <w:szCs w:val="24"/>
        </w:rPr>
        <w:t>查看本人奖助学金信息</w:t>
      </w:r>
      <w:bookmarkEnd w:id="16"/>
    </w:p>
    <w:p w14:paraId="4C7F06C3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在左侧“奖助信息”一栏中，点击“我的奖助”可以查看已申请的奖助学金以及申请书草稿。</w:t>
      </w:r>
    </w:p>
    <w:p w14:paraId="6B9DE9BD">
      <w:pPr>
        <w:pStyle w:val="10"/>
        <w:numPr>
          <w:ilvl w:val="1"/>
          <w:numId w:val="1"/>
        </w:numPr>
        <w:outlineLvl w:val="9"/>
        <w:rPr>
          <w:sz w:val="24"/>
          <w:szCs w:val="24"/>
        </w:rPr>
      </w:pPr>
      <w:bookmarkStart w:id="17" w:name="_Toc53921396"/>
      <w:r>
        <w:rPr>
          <w:rFonts w:hint="eastAsia"/>
          <w:sz w:val="24"/>
          <w:szCs w:val="24"/>
        </w:rPr>
        <w:t>我的申请</w:t>
      </w:r>
      <w:bookmarkEnd w:id="17"/>
    </w:p>
    <w:p w14:paraId="7B50933B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“我的申请”标签页中显示的是申请书草稿与正在等待审批的奖助学金。草稿条目可以点击其右侧对应的“修改申请表”继续编辑申请书；已提交的申请不可修改，可以点击其右侧的“查看申请表”查看或者打印申请表。（图3</w:t>
      </w:r>
      <w:r>
        <w:rPr>
          <w:sz w:val="24"/>
          <w:szCs w:val="24"/>
        </w:rPr>
        <w:t>.1</w:t>
      </w:r>
      <w:r>
        <w:rPr>
          <w:rFonts w:hint="eastAsia"/>
          <w:sz w:val="24"/>
          <w:szCs w:val="24"/>
        </w:rPr>
        <w:t>）</w:t>
      </w:r>
    </w:p>
    <w:p w14:paraId="5CFE9805">
      <w:pPr>
        <w:jc w:val="center"/>
        <w:rPr>
          <w:sz w:val="24"/>
          <w:szCs w:val="24"/>
        </w:rPr>
      </w:pPr>
      <w:r>
        <w:rPr>
          <w:sz w:val="24"/>
          <w:szCs w:val="24"/>
        </w:rPr>
        <w:drawing>
          <wp:inline distT="0" distB="0" distL="114300" distR="114300">
            <wp:extent cx="4838065" cy="2339975"/>
            <wp:effectExtent l="0" t="0" r="635" b="3175"/>
            <wp:docPr id="9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7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838337" cy="23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E3E0F1">
      <w:pPr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图3</w:t>
      </w:r>
      <w:r>
        <w:rPr>
          <w:sz w:val="24"/>
          <w:szCs w:val="24"/>
        </w:rPr>
        <w:t>.1</w:t>
      </w:r>
    </w:p>
    <w:p w14:paraId="41C4341F">
      <w:pPr>
        <w:pStyle w:val="10"/>
        <w:numPr>
          <w:ilvl w:val="1"/>
          <w:numId w:val="1"/>
        </w:numPr>
        <w:outlineLvl w:val="9"/>
        <w:rPr>
          <w:sz w:val="24"/>
          <w:szCs w:val="24"/>
        </w:rPr>
      </w:pPr>
      <w:bookmarkStart w:id="18" w:name="_Toc4240"/>
      <w:bookmarkStart w:id="19" w:name="_Toc53921397"/>
      <w:r>
        <w:rPr>
          <w:rFonts w:hint="eastAsia"/>
          <w:sz w:val="24"/>
          <w:szCs w:val="24"/>
        </w:rPr>
        <w:t>已获奖助</w:t>
      </w:r>
      <w:bookmarkEnd w:id="18"/>
      <w:bookmarkEnd w:id="19"/>
    </w:p>
    <w:p w14:paraId="6131E388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在“已获奖助”标签页中里面可以看到已完成审批流程的奖助学金。（图3</w:t>
      </w:r>
      <w:r>
        <w:rPr>
          <w:sz w:val="24"/>
          <w:szCs w:val="24"/>
        </w:rPr>
        <w:t>.2</w:t>
      </w:r>
      <w:r>
        <w:rPr>
          <w:rFonts w:hint="eastAsia"/>
          <w:sz w:val="24"/>
          <w:szCs w:val="24"/>
        </w:rPr>
        <w:t>）</w:t>
      </w:r>
    </w:p>
    <w:p w14:paraId="075F9A04">
      <w:pPr>
        <w:jc w:val="center"/>
        <w:rPr>
          <w:sz w:val="24"/>
          <w:szCs w:val="24"/>
        </w:rPr>
      </w:pPr>
      <w:r>
        <w:rPr>
          <w:sz w:val="24"/>
          <w:szCs w:val="24"/>
        </w:rPr>
        <w:drawing>
          <wp:inline distT="0" distB="0" distL="114300" distR="114300">
            <wp:extent cx="4908550" cy="2339975"/>
            <wp:effectExtent l="0" t="0" r="6350" b="3175"/>
            <wp:docPr id="1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2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908726" cy="23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AB4FC">
      <w:pPr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图3</w:t>
      </w:r>
      <w:r>
        <w:rPr>
          <w:sz w:val="24"/>
          <w:szCs w:val="24"/>
        </w:rPr>
        <w:t>.2</w:t>
      </w:r>
    </w:p>
    <w:p w14:paraId="4440E535">
      <w:pPr>
        <w:pStyle w:val="9"/>
        <w:numPr>
          <w:ilvl w:val="0"/>
          <w:numId w:val="1"/>
        </w:numPr>
        <w:outlineLvl w:val="9"/>
        <w:rPr>
          <w:sz w:val="24"/>
          <w:szCs w:val="24"/>
        </w:rPr>
      </w:pPr>
      <w:bookmarkStart w:id="20" w:name="_Toc53921398"/>
      <w:r>
        <w:rPr>
          <w:rFonts w:hint="eastAsia"/>
          <w:sz w:val="24"/>
          <w:szCs w:val="24"/>
        </w:rPr>
        <w:t>编辑奖助学金长效管理</w:t>
      </w:r>
      <w:bookmarkEnd w:id="20"/>
    </w:p>
    <w:p w14:paraId="0C2DD8A3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在左侧“奖助信息”一栏中，点击“奖助总结”，可以查看需要长效管理的奖助学金（图4</w:t>
      </w:r>
      <w:r>
        <w:rPr>
          <w:sz w:val="24"/>
          <w:szCs w:val="24"/>
        </w:rPr>
        <w:t>.1</w:t>
      </w:r>
      <w:r>
        <w:rPr>
          <w:rFonts w:hint="eastAsia"/>
          <w:sz w:val="24"/>
          <w:szCs w:val="24"/>
        </w:rPr>
        <w:t>）。</w:t>
      </w:r>
    </w:p>
    <w:p w14:paraId="1A1BEDB6">
      <w:pPr>
        <w:jc w:val="center"/>
        <w:rPr>
          <w:sz w:val="24"/>
          <w:szCs w:val="24"/>
        </w:rPr>
      </w:pPr>
      <w:r>
        <w:rPr>
          <w:sz w:val="24"/>
          <w:szCs w:val="24"/>
        </w:rPr>
        <w:drawing>
          <wp:inline distT="0" distB="0" distL="114300" distR="114300">
            <wp:extent cx="5259705" cy="2553335"/>
            <wp:effectExtent l="0" t="0" r="17145" b="18415"/>
            <wp:docPr id="11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9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59705" cy="2553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5A825D">
      <w:pPr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图4</w:t>
      </w:r>
      <w:r>
        <w:rPr>
          <w:sz w:val="24"/>
          <w:szCs w:val="24"/>
        </w:rPr>
        <w:t>.1</w:t>
      </w:r>
    </w:p>
    <w:p w14:paraId="7D42B480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点击对应条目的“修改我的长效管理”可以进行编辑，未填写完的长效管理可以点击文档底部的“保存草稿”按钮保存（图4</w:t>
      </w:r>
      <w:r>
        <w:rPr>
          <w:sz w:val="24"/>
          <w:szCs w:val="24"/>
        </w:rPr>
        <w:t>.2</w:t>
      </w:r>
      <w:r>
        <w:rPr>
          <w:rFonts w:hint="eastAsia"/>
          <w:sz w:val="24"/>
          <w:szCs w:val="24"/>
        </w:rPr>
        <w:t>），下次登陆时可以回到“我的奖助”页面中打开草稿继续填写。长效管理提交审批后，除被退回，无法进行修改。</w:t>
      </w:r>
    </w:p>
    <w:p w14:paraId="408E1D7E">
      <w:pPr>
        <w:jc w:val="center"/>
        <w:rPr>
          <w:sz w:val="24"/>
          <w:szCs w:val="24"/>
        </w:rPr>
      </w:pPr>
      <w:r>
        <w:rPr>
          <w:sz w:val="24"/>
          <w:szCs w:val="24"/>
        </w:rPr>
        <w:drawing>
          <wp:inline distT="0" distB="0" distL="114300" distR="114300">
            <wp:extent cx="5257800" cy="2532380"/>
            <wp:effectExtent l="0" t="0" r="0" b="1270"/>
            <wp:docPr id="13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1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2532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D7A92F">
      <w:pPr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图4.</w:t>
      </w:r>
      <w:r>
        <w:rPr>
          <w:sz w:val="24"/>
          <w:szCs w:val="24"/>
        </w:rPr>
        <w:t>2</w:t>
      </w:r>
    </w:p>
    <w:p w14:paraId="19F30099">
      <w:pPr>
        <w:widowControl/>
        <w:jc w:val="left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6449265A">
      <w:pPr>
        <w:pStyle w:val="9"/>
        <w:numPr>
          <w:ilvl w:val="0"/>
          <w:numId w:val="1"/>
        </w:numPr>
        <w:outlineLvl w:val="9"/>
        <w:rPr>
          <w:sz w:val="24"/>
          <w:szCs w:val="24"/>
        </w:rPr>
      </w:pPr>
      <w:bookmarkStart w:id="21" w:name="_Toc139"/>
      <w:bookmarkStart w:id="22" w:name="_Toc53921399"/>
      <w:r>
        <w:rPr>
          <w:rFonts w:hint="eastAsia"/>
          <w:sz w:val="24"/>
          <w:szCs w:val="24"/>
        </w:rPr>
        <w:t>查看正在公示</w:t>
      </w:r>
      <w:bookmarkEnd w:id="21"/>
      <w:r>
        <w:rPr>
          <w:rFonts w:hint="eastAsia"/>
          <w:sz w:val="24"/>
          <w:szCs w:val="24"/>
        </w:rPr>
        <w:t>的奖助学金</w:t>
      </w:r>
      <w:bookmarkEnd w:id="22"/>
    </w:p>
    <w:p w14:paraId="3C43E3E1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在左侧“奖助信息”一栏中，点击“公示信息”，可以查看正在进行全校公示的奖助学金，点击“查看公示详情”查看获奖助学生名单（图5</w:t>
      </w:r>
      <w:r>
        <w:rPr>
          <w:sz w:val="24"/>
          <w:szCs w:val="24"/>
        </w:rPr>
        <w:t>.1</w:t>
      </w:r>
      <w:r>
        <w:rPr>
          <w:rFonts w:hint="eastAsia"/>
          <w:sz w:val="24"/>
          <w:szCs w:val="24"/>
        </w:rPr>
        <w:t>）。</w:t>
      </w:r>
    </w:p>
    <w:p w14:paraId="6AA28AF2">
      <w:pPr>
        <w:jc w:val="center"/>
        <w:rPr>
          <w:sz w:val="24"/>
          <w:szCs w:val="24"/>
        </w:rPr>
      </w:pPr>
      <w:r>
        <w:rPr>
          <w:sz w:val="24"/>
          <w:szCs w:val="24"/>
        </w:rPr>
        <w:drawing>
          <wp:inline distT="0" distB="0" distL="114300" distR="114300">
            <wp:extent cx="5263515" cy="2538730"/>
            <wp:effectExtent l="0" t="0" r="13335" b="1397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2538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E6107F">
      <w:pPr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图5</w:t>
      </w:r>
      <w:r>
        <w:rPr>
          <w:sz w:val="24"/>
          <w:szCs w:val="24"/>
        </w:rPr>
        <w:t>.1</w:t>
      </w:r>
    </w:p>
    <w:p w14:paraId="1434A840">
      <w:pPr>
        <w:rPr>
          <w:rFonts w:ascii="方正小标宋简体" w:eastAsia="方正小标宋简体"/>
          <w:sz w:val="24"/>
          <w:szCs w:val="24"/>
        </w:rPr>
      </w:pPr>
    </w:p>
    <w:p w14:paraId="1D6350B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DE11E41"/>
    <w:multiLevelType w:val="multilevel"/>
    <w:tmpl w:val="6DE11E41"/>
    <w:lvl w:ilvl="0" w:tentative="0">
      <w:start w:val="1"/>
      <w:numFmt w:val="decimal"/>
      <w:lvlText w:val="%1."/>
      <w:lvlJc w:val="left"/>
      <w:pPr>
        <w:ind w:left="360" w:hanging="360"/>
      </w:pPr>
    </w:lvl>
    <w:lvl w:ilvl="1" w:tentative="0">
      <w:start w:val="1"/>
      <w:numFmt w:val="decimal"/>
      <w:lvlText w:val="%1.%2."/>
      <w:lvlJc w:val="left"/>
      <w:pPr>
        <w:ind w:left="432" w:hanging="432"/>
      </w:pPr>
    </w:lvl>
    <w:lvl w:ilvl="2" w:tentative="0">
      <w:start w:val="1"/>
      <w:numFmt w:val="decimal"/>
      <w:lvlText w:val="%1.%2.%3."/>
      <w:lvlJc w:val="left"/>
      <w:pPr>
        <w:ind w:left="1224" w:hanging="504"/>
      </w:pPr>
    </w:lvl>
    <w:lvl w:ilvl="3" w:tentative="0">
      <w:start w:val="1"/>
      <w:numFmt w:val="decimal"/>
      <w:lvlText w:val="%1.%2.%3.%4."/>
      <w:lvlJc w:val="left"/>
      <w:pPr>
        <w:ind w:left="1728" w:hanging="648"/>
      </w:pPr>
    </w:lvl>
    <w:lvl w:ilvl="4" w:tentative="0">
      <w:start w:val="1"/>
      <w:numFmt w:val="decimal"/>
      <w:lvlText w:val="%1.%2.%3.%4.%5."/>
      <w:lvlJc w:val="left"/>
      <w:pPr>
        <w:ind w:left="2232" w:hanging="792"/>
      </w:pPr>
    </w:lvl>
    <w:lvl w:ilvl="5" w:tentative="0">
      <w:start w:val="1"/>
      <w:numFmt w:val="decimal"/>
      <w:lvlText w:val="%1.%2.%3.%4.%5.%6."/>
      <w:lvlJc w:val="left"/>
      <w:pPr>
        <w:ind w:left="2736" w:hanging="936"/>
      </w:pPr>
    </w:lvl>
    <w:lvl w:ilvl="6" w:tentative="0">
      <w:start w:val="1"/>
      <w:numFmt w:val="decimal"/>
      <w:lvlText w:val="%1.%2.%3.%4.%5.%6.%7."/>
      <w:lvlJc w:val="left"/>
      <w:pPr>
        <w:ind w:left="3240" w:hanging="1080"/>
      </w:pPr>
    </w:lvl>
    <w:lvl w:ilvl="7" w:tentative="0">
      <w:start w:val="1"/>
      <w:numFmt w:val="decimal"/>
      <w:lvlText w:val="%1.%2.%3.%4.%5.%6.%7.%8."/>
      <w:lvlJc w:val="left"/>
      <w:pPr>
        <w:ind w:left="3744" w:hanging="1224"/>
      </w:pPr>
    </w:lvl>
    <w:lvl w:ilvl="8" w:tentative="0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A4MGRlZmUwNDA3MGY4YmVlMjA5MjJjMWEyZDk5NDYifQ=="/>
  </w:docVars>
  <w:rsids>
    <w:rsidRoot w:val="00000000"/>
    <w:rsid w:val="1A5B5BFF"/>
    <w:rsid w:val="22D1578C"/>
    <w:rsid w:val="54E97BB1"/>
    <w:rsid w:val="58B42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0"/>
    <w:pPr>
      <w:spacing w:after="120"/>
    </w:pPr>
  </w:style>
  <w:style w:type="paragraph" w:styleId="5">
    <w:name w:val="Title"/>
    <w:basedOn w:val="1"/>
    <w:next w:val="1"/>
    <w:qFormat/>
    <w:uiPriority w:val="0"/>
    <w:pPr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customStyle="1" w:styleId="8">
    <w:name w:val="Title Style"/>
    <w:basedOn w:val="5"/>
    <w:next w:val="1"/>
    <w:qFormat/>
    <w:uiPriority w:val="0"/>
    <w:pPr>
      <w:jc w:val="center"/>
    </w:pPr>
    <w:rPr>
      <w:rFonts w:ascii="黑体" w:hAnsi="黑体" w:eastAsia="黑体"/>
      <w:b/>
    </w:rPr>
  </w:style>
  <w:style w:type="paragraph" w:customStyle="1" w:styleId="9">
    <w:name w:val="HS1"/>
    <w:basedOn w:val="2"/>
    <w:next w:val="1"/>
    <w:qFormat/>
    <w:uiPriority w:val="0"/>
    <w:rPr>
      <w:rFonts w:ascii="Arial" w:hAnsi="Arial" w:eastAsia="黑体" w:cs="黑体"/>
      <w:sz w:val="32"/>
      <w:szCs w:val="32"/>
    </w:rPr>
  </w:style>
  <w:style w:type="paragraph" w:customStyle="1" w:styleId="10">
    <w:name w:val="HS2"/>
    <w:basedOn w:val="3"/>
    <w:next w:val="1"/>
    <w:qFormat/>
    <w:uiPriority w:val="0"/>
    <w:rPr>
      <w:rFonts w:cs="黑体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9" Type="http://schemas.openxmlformats.org/officeDocument/2006/relationships/fontTable" Target="fontTable.xml"/><Relationship Id="rId18" Type="http://schemas.openxmlformats.org/officeDocument/2006/relationships/numbering" Target="numbering.xml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985</Words>
  <Characters>1047</Characters>
  <Lines>0</Lines>
  <Paragraphs>0</Paragraphs>
  <TotalTime>1</TotalTime>
  <ScaleCrop>false</ScaleCrop>
  <LinksUpToDate>false</LinksUpToDate>
  <CharactersWithSpaces>1047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2023-03-06T06:10:00Z</dcterms:created>
  <dc:creator>15221</dc:creator>
  <cp:lastModifiedBy>高帆</cp:lastModifiedBy>
  <dcterms:modified xsi:type="dcterms:W3CDTF">2025-03-24T08:32:18Z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5E6DBFCDB26C469C8A5CEF15D20D8CFD_13</vt:lpwstr>
  </property>
  <property fmtid="{D5CDD505-2E9C-101B-9397-08002B2CF9AE}" pid="4" name="KSOTemplateDocerSaveRecord">
    <vt:lpwstr>eyJoZGlkIjoiNmUwOTk0MGYzMjVjZDVjMTMwNWMyZmY2ZDdlMGQwNWYiLCJ1c2VySWQiOiIxNTgyMDI5OTczIn0=</vt:lpwstr>
  </property>
</Properties>
</file>